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B44" w:rsidRDefault="00D65091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7B44" w:rsidRDefault="00827B44">
      <w:pPr>
        <w:pStyle w:val="NoSpacing"/>
        <w:rPr>
          <w:rFonts w:ascii="Arial" w:hAnsi="Arial" w:cs="Arial"/>
          <w:b/>
          <w:sz w:val="14"/>
          <w:szCs w:val="14"/>
        </w:rPr>
      </w:pPr>
    </w:p>
    <w:p w:rsidR="00827B44" w:rsidRDefault="00D65091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827B44" w:rsidRDefault="00827B44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827B44" w:rsidRDefault="00827B44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827B4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>
              <w:rPr>
                <w:rFonts w:asciiTheme="majorHAnsi" w:hAnsiTheme="majorHAnsi" w:cs="Arial"/>
                <w:b/>
                <w:sz w:val="18"/>
                <w:szCs w:val="18"/>
              </w:rPr>
              <w:t>Odabrana poglavlja organske hemije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85271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52710">
              <w:rPr>
                <w:rFonts w:asciiTheme="majorHAnsi" w:hAnsiTheme="majorHAnsi" w:cs="Arial"/>
                <w:b/>
                <w:sz w:val="18"/>
                <w:szCs w:val="18"/>
              </w:rPr>
              <w:t>OPOH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827B44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827B44" w:rsidRDefault="00827B44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D6509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865B6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865B6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827B44" w:rsidRDefault="00827B44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827B44" w:rsidRDefault="00827B44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827B44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 w:rsidP="00A64EC1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A64EC1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,93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 w:rsidP="00A64EC1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11</w:t>
            </w:r>
            <w:r w:rsidR="00A64EC1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,68</w:t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CB7DE6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>Hemija/ Hemija/usmjerenje</w:t>
            </w:r>
            <w:r w:rsidR="000A5EB4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Edukacija u hemiji/ Primijenja hemija/Hemija okoline i kontrola kvaliteta/ Medicinska hemija</w:t>
            </w:r>
            <w:r w:rsidR="003620A9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827B4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dr.sc. Melita Huremovic, redovni profesor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zučavanje organskih reakcijakao i sinteza organskih molekula različite kompleksnosti. Korištenje retrosintetske</w:t>
            </w:r>
          </w:p>
          <w:p w:rsidR="00827B4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analize.  Razmatranje mehanizama sintetskih transformacija u reakcijama nastajanja novih veza veze ugljik-ugljik. Značaj modernih, katalitičkih metoda sinteza kao izvora funkcionalnih grupa i njihove interkonverzije. Naglašavaju se karakteristike uslova odvijanja sinteza, kao i konkretni primjeri kako za laboratorijske tako i za industrijske primjene.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Definisati i objasniti osnovne pojmove vezane organsku sintezu i retrosintetsku analizu (ciljna molekula,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diskonekcija, sinton i sintetski ekvivalent).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Navesti, objasniti i primijeniti principe organske sinteze, primijeniti strategiju i kontrolu sinteze ciljne molekule.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Klasificirati i retrosintetski analizirati ciljne molekule s obzirom na položaj funkcionalnih grupa u molekuli. Planirati i</w:t>
            </w:r>
          </w:p>
          <w:p w:rsidR="00827B4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napisati sintezu organskih molekula uz identifikaciju i karakterizaciju spojeva.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Istraživanje i razvoj lijekova(generički lijekovi);Značaj izomerije kod farmaceutski aktivnih tvari; Sinteza i polimorfizam antiepileptika (karbamazepin); Metode karakterizacije sintetiziranog produkta; Struktura i svojstva kristala farmaceutski aktivnih spojeva; Solubilizacija i kompleksiranje farmaceutski aktivnih tvari; Sinteza spojeva otvorenog lanca, (HIV agensi), sinteze alicikličkih spojeba (prostaglandini, antiviralniagensi, 19-nor steroidi); Sinteze monocikličkih aromatskih jedinjenja; Sinteza feksofenadin hidrohlorida kao antihistaminskog lijeka; Sinteza antihipertenziva-amlodipin besilata. Sinteza lijekova sa djelovanjem na krv i krvotvornih organa. Sinteze i značaj petočlanih, šestočlanih, sedmočlanih heterocikličnih spojeva Sinteze i značaj konenziranih heterocikličkih sistema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Predavanja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Individualni seminarski radovi</w:t>
            </w:r>
          </w:p>
          <w:p w:rsidR="00827B4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konsultacije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Za kontinuiranu aktivnost i prisustvo na predavanjima u toku cijelog semestra student može ostvariti maksimalno 10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bodova.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Studenti pismeno polažu test na kojem mogu ostvariti maksimalno 70 bodova. Svaki test se sastoji od pitanja i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zadataka koja se tiču obrađenih tema sa predavanja.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U toku semestra studenti usmeno brane seminarski rad na zadanu temu, te mogu iz ove aktivnosti osvojiti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maksimalno 20 bodova.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Provjere na svim oblicima znanja priznaju se kao kumulativni ispit ukoliko je postignuti rezultat pozitivan nakon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svake pojedinačne provjere.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Da bi student položio predmet mora ostvariti minimalno 5</w:t>
            </w:r>
            <w:r w:rsidR="007D32F4">
              <w:rPr>
                <w:rFonts w:asciiTheme="majorHAnsi" w:hAnsiTheme="majorHAnsi" w:cs="Arial"/>
                <w:b/>
                <w:sz w:val="18"/>
                <w:szCs w:val="18"/>
              </w:rPr>
              <w:t xml:space="preserve">5 </w:t>
            </w: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kumulativnih bodova.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Provjera znanja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Osvojen broj bodova  Ocjena (BiH)  (ECTS ocjena)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&lt; 54                                     5                         F</w:t>
            </w:r>
            <w:bookmarkStart w:id="3" w:name="_GoBack"/>
            <w:bookmarkEnd w:id="3"/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55– 64                               6                         E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65 – 74                               7                         D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75 – 84                               8                         C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85– 94                                9                         B</w:t>
            </w:r>
          </w:p>
          <w:p w:rsidR="00827B4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95- 100                             10                        A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Kriterij                                              Maks.          Min.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 xml:space="preserve">Urednost pohađanja nastave        10                   5       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Test I                                                  35                  20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Test II                                                35                  20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Seminarski rad/projekat              20                  10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</w:t>
            </w:r>
          </w:p>
          <w:p w:rsidR="00827B4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Ukupno                                           100                 55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1. Čeković Ž, Organske sinteze,zavod za užbenike i nastavna sredstva,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2.VolhardtC.ShoreE.Organska hemija, Data status i Nauka, Beograd, 2004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3. Carey A. F.,Organic Chemistry, fourth edition,Virginia 2000</w:t>
            </w:r>
          </w:p>
          <w:p w:rsidR="00827B4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4. Morrison &amp; Boyd, Organic Chemistry, Prant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827B44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827B4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www.orgsyn.org/Free electronic version of printed Organic Syntheses series - detailed reliable experimental methods</w:t>
            </w:r>
          </w:p>
          <w:p w:rsidR="00827B4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for the synthesis of organic comp.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FD28D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 w:rsidRPr="00507B72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FD28DA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507B72" w:rsidRPr="00507B72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FD28DA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 w:rsidRPr="007D32F4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D65091" w:rsidRPr="007D32F4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7D32F4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827B44" w:rsidRDefault="00827B44">
      <w:pPr>
        <w:spacing w:after="0" w:line="240" w:lineRule="auto"/>
        <w:rPr>
          <w:rFonts w:ascii="Book Antiqua" w:hAnsi="Book Antiqua"/>
        </w:rPr>
      </w:pPr>
    </w:p>
    <w:sectPr w:rsidR="00827B44" w:rsidSect="00827B44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B6C" w:rsidRDefault="00865B6C">
      <w:pPr>
        <w:spacing w:line="240" w:lineRule="auto"/>
      </w:pPr>
      <w:r>
        <w:separator/>
      </w:r>
    </w:p>
  </w:endnote>
  <w:endnote w:type="continuationSeparator" w:id="0">
    <w:p w:rsidR="00865B6C" w:rsidRDefault="00865B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827B44">
      <w:trPr>
        <w:trHeight w:val="445"/>
      </w:trPr>
      <w:tc>
        <w:tcPr>
          <w:tcW w:w="1470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D65091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D32F4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827B44" w:rsidRDefault="00D6509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D32F4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D32F4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827B44" w:rsidRDefault="00827B44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B6C" w:rsidRDefault="00865B6C">
      <w:pPr>
        <w:spacing w:after="0"/>
      </w:pPr>
      <w:r>
        <w:separator/>
      </w:r>
    </w:p>
  </w:footnote>
  <w:footnote w:type="continuationSeparator" w:id="0">
    <w:p w:rsidR="00865B6C" w:rsidRDefault="00865B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B44" w:rsidRDefault="00827B44">
    <w:pPr>
      <w:pStyle w:val="Header"/>
    </w:pPr>
  </w:p>
  <w:p w:rsidR="00827B44" w:rsidRDefault="00827B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A5EB4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621D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0A9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A4C0A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07B72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9271F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D32F4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27B44"/>
    <w:rsid w:val="0083297F"/>
    <w:rsid w:val="00837427"/>
    <w:rsid w:val="00840C7C"/>
    <w:rsid w:val="00846857"/>
    <w:rsid w:val="00846C5C"/>
    <w:rsid w:val="008471F8"/>
    <w:rsid w:val="00850589"/>
    <w:rsid w:val="00851B9B"/>
    <w:rsid w:val="00852710"/>
    <w:rsid w:val="008529E8"/>
    <w:rsid w:val="008636A1"/>
    <w:rsid w:val="008638E5"/>
    <w:rsid w:val="00865B6C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26E42"/>
    <w:rsid w:val="0093451D"/>
    <w:rsid w:val="009351F2"/>
    <w:rsid w:val="00943CAF"/>
    <w:rsid w:val="009444C2"/>
    <w:rsid w:val="009455B4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0D75"/>
    <w:rsid w:val="009E2A80"/>
    <w:rsid w:val="009E2DF7"/>
    <w:rsid w:val="009E3DB1"/>
    <w:rsid w:val="009E56CB"/>
    <w:rsid w:val="009E69B9"/>
    <w:rsid w:val="009E79AC"/>
    <w:rsid w:val="009F0A85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64EC1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B7DE6"/>
    <w:rsid w:val="00CC4E38"/>
    <w:rsid w:val="00CD1AAA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65091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D28DA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2B3CF2-A5CF-4B90-BF28-62627008D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B4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827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827B44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827B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827B44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827B44"/>
    <w:rPr>
      <w:vertAlign w:val="superscript"/>
    </w:rPr>
  </w:style>
  <w:style w:type="paragraph" w:styleId="FootnoteText">
    <w:name w:val="footnote text"/>
    <w:basedOn w:val="Normal"/>
    <w:semiHidden/>
    <w:locked/>
    <w:rsid w:val="00827B4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827B44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827B44"/>
  </w:style>
  <w:style w:type="paragraph" w:styleId="PlainText">
    <w:name w:val="Plain Text"/>
    <w:basedOn w:val="Normal"/>
    <w:link w:val="PlainTextChar"/>
    <w:uiPriority w:val="99"/>
    <w:unhideWhenUsed/>
    <w:locked/>
    <w:rsid w:val="00827B44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827B44"/>
    <w:rPr>
      <w:b/>
      <w:bCs/>
    </w:rPr>
  </w:style>
  <w:style w:type="table" w:styleId="TableGrid">
    <w:name w:val="Table Grid"/>
    <w:basedOn w:val="TableNormal"/>
    <w:uiPriority w:val="59"/>
    <w:qFormat/>
    <w:locked/>
    <w:rsid w:val="00827B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7B4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27B44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827B44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827B4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827B44"/>
  </w:style>
  <w:style w:type="character" w:customStyle="1" w:styleId="FooterChar">
    <w:name w:val="Footer Char"/>
    <w:basedOn w:val="DefaultParagraphFont"/>
    <w:link w:val="Footer"/>
    <w:uiPriority w:val="99"/>
    <w:qFormat/>
    <w:rsid w:val="00827B44"/>
    <w:rPr>
      <w:sz w:val="22"/>
      <w:szCs w:val="22"/>
      <w:lang w:eastAsia="en-US"/>
    </w:rPr>
  </w:style>
  <w:style w:type="paragraph" w:customStyle="1" w:styleId="Style">
    <w:name w:val="Style"/>
    <w:qFormat/>
    <w:rsid w:val="00827B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27B44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4502D-AFCA-43C3-9E32-E9DB5F25A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2025-11-19T08:50:00Z</dcterms:created>
  <dcterms:modified xsi:type="dcterms:W3CDTF">2025-11-21T08:45:00Z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